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02094F88"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2B49C2">
        <w:rPr>
          <w:bCs/>
          <w:i/>
        </w:rPr>
        <w:t>2</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49D56EE1"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2B49C2">
        <w:rPr>
          <w:bCs/>
          <w:szCs w:val="20"/>
        </w:rPr>
        <w:t>2</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77777777" w:rsidR="00382BA5" w:rsidRPr="008165B6" w:rsidRDefault="00382BA5" w:rsidP="00521C67">
      <w:pPr>
        <w:pStyle w:val="NormalnyWeb"/>
        <w:spacing w:before="0" w:beforeAutospacing="0" w:after="0" w:afterAutospacing="0" w:line="276" w:lineRule="auto"/>
        <w:ind w:left="4956"/>
        <w:rPr>
          <w:b/>
          <w:bCs/>
          <w:sz w:val="26"/>
          <w:szCs w:val="20"/>
        </w:rPr>
      </w:pPr>
      <w:r>
        <w:rPr>
          <w:b/>
          <w:bCs/>
          <w:sz w:val="26"/>
          <w:szCs w:val="20"/>
        </w:rPr>
        <w:t>mgr inż. Teodor Kosiarski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7FAAFDF6"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2B49C2">
        <w:rPr>
          <w:b/>
          <w:bCs/>
          <w:sz w:val="26"/>
          <w:szCs w:val="26"/>
        </w:rPr>
        <w:t>3</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214B3306"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2B49C2">
        <w:rPr>
          <w:bCs/>
          <w:sz w:val="26"/>
          <w:szCs w:val="26"/>
        </w:rPr>
        <w:t>3</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2E6C85EE"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w:t>
      </w:r>
      <w:r w:rsidR="002B49C2">
        <w:rPr>
          <w:bCs/>
          <w:sz w:val="26"/>
          <w:szCs w:val="26"/>
        </w:rPr>
        <w:t>2</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7ABBA7E5"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2B49C2">
        <w:rPr>
          <w:bCs/>
          <w:i/>
          <w:sz w:val="26"/>
          <w:szCs w:val="26"/>
        </w:rPr>
        <w:t>3</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3803493D" w:rsidR="00BA0750" w:rsidRPr="00C873FB" w:rsidRDefault="002B49C2" w:rsidP="00EE788F">
      <w:pPr>
        <w:pStyle w:val="NormalnyWeb"/>
        <w:spacing w:line="360" w:lineRule="auto"/>
        <w:contextualSpacing/>
        <w:jc w:val="both"/>
        <w:rPr>
          <w:i/>
          <w:sz w:val="26"/>
          <w:szCs w:val="26"/>
        </w:rPr>
      </w:pPr>
      <w:r w:rsidRPr="002B49C2">
        <w:rPr>
          <w:bCs/>
          <w:i/>
          <w:sz w:val="26"/>
          <w:szCs w:val="26"/>
          <w:u w:val="single"/>
        </w:rPr>
        <w:lastRenderedPageBreak/>
        <w:t>Przykład</w:t>
      </w:r>
      <w:r>
        <w:rPr>
          <w:bCs/>
          <w:i/>
          <w:sz w:val="26"/>
          <w:szCs w:val="26"/>
        </w:rPr>
        <w:t>:</w:t>
      </w:r>
      <w:r w:rsidR="009C766F" w:rsidRPr="002B49C2">
        <w:rPr>
          <w:bCs/>
          <w:i/>
          <w:sz w:val="26"/>
          <w:szCs w:val="26"/>
        </w:rPr>
        <w:t xml:space="preserve"> </w:t>
      </w:r>
      <w:r w:rsidR="009C766F" w:rsidRPr="00C873FB">
        <w:rPr>
          <w:bCs/>
          <w:i/>
          <w:sz w:val="26"/>
          <w:szCs w:val="26"/>
        </w:rPr>
        <w:t>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1A38" w14:textId="77777777" w:rsidR="00BA7AA6" w:rsidRDefault="00BA7AA6" w:rsidP="00BD4DAD">
      <w:r>
        <w:separator/>
      </w:r>
    </w:p>
  </w:endnote>
  <w:endnote w:type="continuationSeparator" w:id="0">
    <w:p w14:paraId="4CFB1336" w14:textId="77777777" w:rsidR="00BA7AA6" w:rsidRDefault="00BA7AA6"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695E" w14:textId="77777777" w:rsidR="00BA7AA6" w:rsidRDefault="00BA7AA6" w:rsidP="00BD4DAD">
      <w:r>
        <w:separator/>
      </w:r>
    </w:p>
  </w:footnote>
  <w:footnote w:type="continuationSeparator" w:id="0">
    <w:p w14:paraId="05DCF418" w14:textId="77777777" w:rsidR="00BA7AA6" w:rsidRDefault="00BA7AA6"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2B49C2"/>
    <w:rsid w:val="003161DD"/>
    <w:rsid w:val="00382BA5"/>
    <w:rsid w:val="003F620D"/>
    <w:rsid w:val="00451AE7"/>
    <w:rsid w:val="004642D0"/>
    <w:rsid w:val="004E2A7C"/>
    <w:rsid w:val="00515BA0"/>
    <w:rsid w:val="00521C67"/>
    <w:rsid w:val="00570EC1"/>
    <w:rsid w:val="005869EB"/>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D3B28"/>
    <w:rsid w:val="00B13364"/>
    <w:rsid w:val="00B14734"/>
    <w:rsid w:val="00B7058A"/>
    <w:rsid w:val="00B87E00"/>
    <w:rsid w:val="00BA0750"/>
    <w:rsid w:val="00BA7AA6"/>
    <w:rsid w:val="00BD4DAD"/>
    <w:rsid w:val="00C873FB"/>
    <w:rsid w:val="00CB18AD"/>
    <w:rsid w:val="00D354C7"/>
    <w:rsid w:val="00DA353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761</Words>
  <Characters>4568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Justyna Wójcik</cp:lastModifiedBy>
  <cp:revision>25</cp:revision>
  <cp:lastPrinted>2018-08-28T13:27:00Z</cp:lastPrinted>
  <dcterms:created xsi:type="dcterms:W3CDTF">2018-08-28T10:25:00Z</dcterms:created>
  <dcterms:modified xsi:type="dcterms:W3CDTF">2022-07-21T06:54:00Z</dcterms:modified>
</cp:coreProperties>
</file>